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tabs>
          <w:tab w:val="right" w:pos="9026"/>
        </w:tabs>
        <w:autoSpaceDE w:val="0"/>
        <w:autoSpaceDN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>
      <w:pPr>
        <w:spacing w:before="120" w:after="120" w:line="240" w:lineRule="auto"/>
        <w:jc w:val="both"/>
        <w:rPr>
          <w:rFonts w:ascii="Arial" w:hAnsi="Arial"/>
          <w:sz w:val="20"/>
        </w:rPr>
      </w:pPr>
    </w:p>
    <w:p>
      <w:pPr>
        <w:widowControl w:val="0"/>
        <w:tabs>
          <w:tab w:val="right" w:pos="9026"/>
        </w:tabs>
        <w:autoSpaceDE w:val="0"/>
        <w:autoSpaceDN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Marianne" w:hAnsi="Marianne" w:cs="DejaVu Sans"/>
          <w:b/>
          <w:bCs/>
          <w:noProof/>
          <w:color w:val="1F497D"/>
        </w:rPr>
        <w:drawing>
          <wp:inline distT="0" distB="0" distL="0" distR="0">
            <wp:extent cx="2171700" cy="866775"/>
            <wp:effectExtent l="0" t="0" r="0" b="9525"/>
            <wp:docPr id="2" name="Image 2" descr="202005_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202005_S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120" w:line="240" w:lineRule="auto"/>
        <w:jc w:val="both"/>
        <w:rPr>
          <w:rFonts w:ascii="Arial" w:hAnsi="Arial"/>
          <w:sz w:val="20"/>
          <w:lang w:eastAsia="fr-FR"/>
        </w:rPr>
      </w:pPr>
    </w:p>
    <w:p>
      <w:pPr>
        <w:spacing w:before="120" w:after="120" w:line="240" w:lineRule="auto"/>
        <w:jc w:val="both"/>
        <w:rPr>
          <w:rFonts w:ascii="Arial" w:hAnsi="Arial"/>
          <w:sz w:val="20"/>
          <w:lang w:eastAsia="fr-FR"/>
        </w:rPr>
      </w:pPr>
    </w:p>
    <w:p>
      <w:pPr>
        <w:spacing w:before="120" w:after="120" w:line="240" w:lineRule="auto"/>
        <w:jc w:val="both"/>
        <w:rPr>
          <w:rFonts w:ascii="Arial" w:hAnsi="Arial"/>
          <w:sz w:val="20"/>
          <w:lang w:eastAsia="fr-FR"/>
        </w:rPr>
      </w:pPr>
    </w:p>
    <w:p>
      <w:pPr>
        <w:spacing w:before="57" w:after="0" w:line="240" w:lineRule="auto"/>
        <w:jc w:val="both"/>
        <w:rPr>
          <w:rFonts w:ascii="Arial" w:hAnsi="Arial"/>
          <w:b/>
          <w:sz w:val="20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Arial" w:hAnsi="Arial"/>
          <w:b/>
          <w:sz w:val="20"/>
          <w:lang w:eastAsia="fr-FR"/>
        </w:rPr>
      </w:pPr>
      <w:r>
        <w:rPr>
          <w:rFonts w:ascii="Arial" w:hAnsi="Arial"/>
          <w:b/>
          <w:sz w:val="20"/>
          <w:lang w:eastAsia="fr-FR"/>
        </w:rPr>
        <w:t>SECRETARIAT GENERAL</w:t>
      </w:r>
    </w:p>
    <w:p>
      <w:pP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Service des achats et des finances </w:t>
      </w:r>
    </w:p>
    <w:p>
      <w:pP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Sous-direction de la gestion financière et des achats</w:t>
      </w:r>
    </w:p>
    <w:p>
      <w:pP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Bureau </w:t>
      </w:r>
      <w:bookmarkStart w:id="0" w:name="Bur"/>
      <w:bookmarkEnd w:id="0"/>
      <w:r>
        <w:rPr>
          <w:rFonts w:ascii="Arial" w:hAnsi="Arial"/>
          <w:b/>
          <w:sz w:val="20"/>
        </w:rPr>
        <w:t>des achats mutualisés d’administration centrale</w:t>
      </w:r>
    </w:p>
    <w:p>
      <w:pPr>
        <w:spacing w:after="0" w:line="240" w:lineRule="auto"/>
        <w:jc w:val="center"/>
        <w:rPr>
          <w:rFonts w:ascii="Arial" w:hAnsi="Arial"/>
          <w:b/>
          <w:sz w:val="20"/>
          <w:lang w:eastAsia="fr-FR"/>
        </w:rPr>
      </w:pPr>
      <w:r>
        <w:rPr>
          <w:rFonts w:ascii="Arial" w:hAnsi="Arial"/>
          <w:b/>
          <w:sz w:val="20"/>
          <w:lang w:eastAsia="fr-FR"/>
        </w:rPr>
        <w:t>139 rue de Bercy – Paris 12</w:t>
      </w:r>
      <w:r>
        <w:rPr>
          <w:rFonts w:ascii="Arial" w:hAnsi="Arial"/>
          <w:b/>
          <w:sz w:val="20"/>
          <w:vertAlign w:val="superscript"/>
          <w:lang w:eastAsia="fr-FR"/>
        </w:rPr>
        <w:t>ème</w:t>
      </w:r>
    </w:p>
    <w:p>
      <w:pPr>
        <w:spacing w:before="57" w:after="0" w:line="240" w:lineRule="auto"/>
        <w:jc w:val="both"/>
        <w:rPr>
          <w:rFonts w:ascii="Arial" w:hAnsi="Arial"/>
          <w:b/>
          <w:sz w:val="20"/>
          <w:szCs w:val="20"/>
          <w:lang w:eastAsia="fr-FR"/>
        </w:rPr>
      </w:pPr>
    </w:p>
    <w:p>
      <w:pPr>
        <w:spacing w:before="57" w:after="0" w:line="240" w:lineRule="auto"/>
        <w:jc w:val="both"/>
        <w:rPr>
          <w:rFonts w:ascii="Arial" w:hAnsi="Arial"/>
          <w:b/>
          <w:sz w:val="20"/>
          <w:szCs w:val="20"/>
          <w:lang w:eastAsia="fr-FR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Fourniture </w:t>
      </w:r>
      <w:r>
        <w:rPr>
          <w:rFonts w:ascii="Arial" w:hAnsi="Arial" w:cs="Arial"/>
          <w:b/>
          <w:sz w:val="28"/>
          <w:szCs w:val="28"/>
        </w:rPr>
        <w:t xml:space="preserve">et livraison de boissons non alcoolisées pour les services d’intendance </w:t>
      </w:r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des ministères économiques et financiers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MEMOIRE TECHNIQUE – CADRE DE REPONSE</w:t>
      </w: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  <w:r>
        <w:rPr>
          <w:rFonts w:ascii="Arial" w:hAnsi="Arial" w:cs="Arial"/>
          <w:i/>
          <w:iCs/>
          <w:color w:val="0000FF"/>
          <w:sz w:val="28"/>
          <w:szCs w:val="28"/>
        </w:rPr>
        <w:t>(Document à remplir obligatoirement)</w:t>
      </w: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spacing w:before="57" w:after="0" w:line="240" w:lineRule="auto"/>
        <w:jc w:val="both"/>
        <w:rPr>
          <w:rFonts w:ascii="Arial" w:eastAsia="Times New Roman" w:hAnsi="Arial" w:cs="Arial"/>
          <w:sz w:val="18"/>
          <w:szCs w:val="18"/>
          <w:lang w:eastAsia="fr-FR"/>
        </w:rPr>
      </w:pPr>
      <w:r>
        <w:rPr>
          <w:rFonts w:ascii="Arial" w:eastAsia="Times New Roman" w:hAnsi="Arial" w:cs="Arial"/>
          <w:sz w:val="18"/>
          <w:szCs w:val="18"/>
          <w:lang w:eastAsia="fr-FR"/>
        </w:rPr>
        <w:t>Numéro de consultation : BAMAC-2025-345-boissons</w:t>
      </w:r>
    </w:p>
    <w:p>
      <w:pPr>
        <w:spacing w:before="120" w:after="120" w:line="240" w:lineRule="auto"/>
        <w:jc w:val="both"/>
        <w:rPr>
          <w:rFonts w:ascii="Arial" w:hAnsi="Arial" w:cs="Arial"/>
          <w:sz w:val="18"/>
          <w:szCs w:val="18"/>
          <w:lang w:eastAsia="fr-FR"/>
        </w:rPr>
      </w:pPr>
      <w:r>
        <w:rPr>
          <w:rFonts w:ascii="Arial" w:hAnsi="Arial" w:cs="Arial"/>
          <w:sz w:val="18"/>
          <w:szCs w:val="18"/>
          <w:lang w:eastAsia="fr-FR"/>
        </w:rPr>
        <w:t>Procédure de passation : Appel d’offres ouvert</w:t>
      </w: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Le document doit être </w:t>
      </w:r>
      <w:r>
        <w:rPr>
          <w:rFonts w:ascii="Arial" w:hAnsi="Arial" w:cs="Arial"/>
          <w:b/>
          <w:i/>
          <w:sz w:val="20"/>
          <w:szCs w:val="20"/>
        </w:rPr>
        <w:t>obligatoirement rempli</w:t>
      </w:r>
      <w:r>
        <w:rPr>
          <w:rFonts w:ascii="Arial" w:hAnsi="Arial" w:cs="Arial"/>
          <w:i/>
          <w:sz w:val="20"/>
          <w:szCs w:val="20"/>
        </w:rPr>
        <w:t xml:space="preserve"> et ne pas dépasser 10 pages hors annexes.</w:t>
      </w:r>
    </w:p>
    <w:p>
      <w:pPr>
        <w:jc w:val="center"/>
        <w:rPr>
          <w:rFonts w:ascii="Arial" w:hAnsi="Arial" w:cs="Arial"/>
          <w:i/>
          <w:sz w:val="20"/>
          <w:szCs w:val="20"/>
        </w:rPr>
      </w:pPr>
    </w:p>
    <w:p>
      <w:pPr>
        <w:jc w:val="center"/>
        <w:rPr>
          <w:rFonts w:ascii="Arial" w:hAnsi="Arial" w:cs="Arial"/>
          <w:i/>
          <w:sz w:val="20"/>
          <w:szCs w:val="20"/>
        </w:rPr>
      </w:pPr>
    </w:p>
    <w:p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Nom de la société : </w:t>
      </w:r>
    </w:p>
    <w:p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Adresse courriel (obligatoire) :</w:t>
      </w:r>
    </w:p>
    <w:p>
      <w:pPr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TPE</w:t>
      </w:r>
      <w:r>
        <w:rPr>
          <w:rFonts w:ascii="Arial" w:hAnsi="Arial" w:cs="Arial"/>
          <w:sz w:val="20"/>
          <w:szCs w:val="20"/>
        </w:rPr>
        <w:tab/>
        <w:t>OUI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sz w:val="20"/>
          <w:szCs w:val="20"/>
        </w:rPr>
        <w:t xml:space="preserve">NON 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</w:p>
    <w:p>
      <w:pPr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PME</w:t>
      </w:r>
      <w:r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ab/>
        <w:t xml:space="preserve"> OUI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NON 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</w:p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p>
      <w:pPr>
        <w:spacing w:after="0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Cs/>
        </w:rPr>
        <w:t>Critère n°1 – Prix </w:t>
      </w:r>
      <w:r>
        <w:rPr>
          <w:rFonts w:ascii="Arial" w:hAnsi="Arial" w:cs="Arial"/>
          <w:i/>
        </w:rPr>
        <w:t>(pondération 50%)</w:t>
      </w:r>
    </w:p>
    <w:p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Les</w:t>
      </w:r>
      <w:r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iCs/>
        </w:rPr>
        <w:t>prix sont jugés à partir d’une simulation de commande non communiquée aux candidats.</w:t>
      </w:r>
    </w:p>
    <w:p>
      <w:pPr>
        <w:spacing w:after="0"/>
        <w:jc w:val="both"/>
        <w:rPr>
          <w:rFonts w:ascii="Arial" w:hAnsi="Arial" w:cs="Arial"/>
          <w:b/>
          <w:bCs/>
          <w:iCs/>
        </w:rPr>
      </w:pPr>
    </w:p>
    <w:p>
      <w:pPr>
        <w:spacing w:after="0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hAnsi="Arial" w:cs="Arial"/>
          <w:b/>
          <w:bCs/>
          <w:iCs/>
        </w:rPr>
        <w:t xml:space="preserve">Critère n°2 – </w:t>
      </w:r>
      <w:r>
        <w:rPr>
          <w:rFonts w:ascii="Arial" w:eastAsia="Times New Roman" w:hAnsi="Arial" w:cs="Arial"/>
          <w:b/>
          <w:bCs/>
          <w:lang w:eastAsia="fr-FR"/>
        </w:rPr>
        <w:t>Modalités d’organisation et de suivi des prestations mis en œuvre dans le cadre de l’exécution du marché</w:t>
      </w:r>
      <w:r>
        <w:rPr>
          <w:rFonts w:ascii="Arial" w:eastAsia="Times New Roman" w:hAnsi="Arial" w:cs="Arial"/>
          <w:lang w:eastAsia="fr-FR"/>
        </w:rPr>
        <w:t xml:space="preserve"> </w:t>
      </w:r>
      <w:r>
        <w:rPr>
          <w:rFonts w:ascii="Arial" w:hAnsi="Arial" w:cs="Arial"/>
          <w:i/>
        </w:rPr>
        <w:t>(pondération 30%)</w:t>
      </w:r>
    </w:p>
    <w:p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bookmarkStart w:id="1" w:name="_Hlk198901776"/>
            <w:r>
              <w:rPr>
                <w:rFonts w:ascii="Arial" w:eastAsia="Times New Roman" w:hAnsi="Arial" w:cs="Arial"/>
                <w:b/>
                <w:bCs/>
              </w:rPr>
              <w:t>Modalités de prise de commande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  <w:bookmarkEnd w:id="1"/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Description des moyens matériels et logistiques utilisés pour l’exécution du marché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Description des moyens humains pressentis pour l’exécution du marché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(description du personnel, formation suivies)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</w:rPr>
              <w:lastRenderedPageBreak/>
              <w:t>Description des modalités de facturation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after="0"/>
        <w:jc w:val="both"/>
        <w:rPr>
          <w:rFonts w:ascii="Arial" w:eastAsia="Times New Roman" w:hAnsi="Arial" w:cs="Arial"/>
          <w:b/>
        </w:rPr>
      </w:pPr>
    </w:p>
    <w:p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bCs/>
          <w:iCs/>
        </w:rPr>
        <w:t>Critère n°3 – Variété et conditionnement des articles</w:t>
      </w:r>
      <w:r>
        <w:rPr>
          <w:rFonts w:ascii="Arial" w:hAnsi="Arial" w:cs="Arial"/>
          <w:b/>
          <w:bCs/>
          <w:iCs/>
          <w:color w:val="FF0000"/>
        </w:rPr>
        <w:t xml:space="preserve"> </w:t>
      </w:r>
      <w:r>
        <w:rPr>
          <w:rFonts w:ascii="Arial" w:hAnsi="Arial" w:cs="Arial"/>
          <w:i/>
        </w:rPr>
        <w:t>(pondération 10%)</w:t>
      </w:r>
    </w:p>
    <w:p>
      <w:pPr>
        <w:spacing w:after="0"/>
        <w:jc w:val="both"/>
        <w:rPr>
          <w:rFonts w:ascii="Arial" w:eastAsia="Times New Roman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</w:rPr>
              <w:t xml:space="preserve">Description des variétés et gammes d’articles proposés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(exemple : standard, frais, premium, </w:t>
            </w:r>
            <w:proofErr w:type="spellStart"/>
            <w:proofErr w:type="gramStart"/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artisanal,etc</w:t>
            </w:r>
            <w:proofErr w:type="spellEnd"/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.</w:t>
            </w:r>
            <w:proofErr w:type="gramEnd"/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)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after="0"/>
        <w:jc w:val="both"/>
        <w:rPr>
          <w:rFonts w:ascii="Arial" w:eastAsia="Times New Roman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</w:rPr>
              <w:t>Description relative au conditionnement des articles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after="0"/>
        <w:jc w:val="both"/>
        <w:rPr>
          <w:rFonts w:ascii="Arial" w:eastAsia="Times New Roman" w:hAnsi="Arial" w:cs="Arial"/>
          <w:b/>
        </w:rPr>
      </w:pPr>
    </w:p>
    <w:p>
      <w:pPr>
        <w:spacing w:after="0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</w:rPr>
        <w:t xml:space="preserve">Critère n°4 - Mesures mises en œuvre en faveur du respect de l’environnement pour l’exécution du marché </w:t>
      </w:r>
      <w:r>
        <w:rPr>
          <w:rFonts w:ascii="Arial" w:hAnsi="Arial" w:cs="Arial"/>
          <w:i/>
        </w:rPr>
        <w:t>(pondération 10%)</w:t>
      </w:r>
    </w:p>
    <w:p>
      <w:pPr>
        <w:spacing w:after="0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Description des solutions de transport électrique ou thermique mises en œuvre pour l’exécution du marché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after="0"/>
        <w:rPr>
          <w:rFonts w:ascii="Arial" w:eastAsia="Times New Roman" w:hAnsi="Arial" w:cs="Arial"/>
          <w:lang w:eastAsia="fr-FR"/>
        </w:rPr>
      </w:pPr>
    </w:p>
    <w:p>
      <w:pPr>
        <w:spacing w:after="0"/>
        <w:rPr>
          <w:rFonts w:ascii="Arial" w:eastAsia="Times New Roman" w:hAnsi="Arial" w:cs="Arial"/>
          <w:b/>
        </w:rPr>
      </w:pPr>
    </w:p>
    <w:p>
      <w:pPr>
        <w:spacing w:after="0"/>
        <w:rPr>
          <w:rFonts w:ascii="Arial" w:eastAsia="Times New Roman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bookmarkStart w:id="2" w:name="_Hlk193100676"/>
            <w:r>
              <w:rPr>
                <w:rFonts w:ascii="Arial" w:eastAsia="Times New Roman" w:hAnsi="Arial" w:cs="Arial"/>
                <w:b/>
                <w:bCs/>
              </w:rPr>
              <w:lastRenderedPageBreak/>
              <w:t>Description de la gestion des déchets mise en œuvre pour l’exécution du marché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  <w:bookmarkEnd w:id="2"/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sectPr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94337832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Page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sur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F41F3"/>
    <w:multiLevelType w:val="hybridMultilevel"/>
    <w:tmpl w:val="23EC82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81262"/>
    <w:multiLevelType w:val="hybridMultilevel"/>
    <w:tmpl w:val="79948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7298B-187A-4A2A-AF7C-D1E10902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pPr>
      <w:spacing w:before="57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307A.9C61F39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322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GIGOT Sonia</dc:creator>
  <cp:keywords/>
  <dc:description/>
  <cp:lastModifiedBy>DHEILLY Nathalie</cp:lastModifiedBy>
  <cp:revision>4</cp:revision>
  <cp:lastPrinted>2026-02-05T11:01:00Z</cp:lastPrinted>
  <dcterms:created xsi:type="dcterms:W3CDTF">2026-02-04T16:19:00Z</dcterms:created>
  <dcterms:modified xsi:type="dcterms:W3CDTF">2026-02-05T11:01:00Z</dcterms:modified>
</cp:coreProperties>
</file>